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646D6" w:rsidRPr="007961C2">
        <w:rPr>
          <w:rFonts w:cs="Arial"/>
          <w:sz w:val="28"/>
          <w:szCs w:val="28"/>
        </w:rPr>
        <w:t>Schokolinsen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646D6" w:rsidRPr="00CA4F42" w:rsidTr="003646D6">
        <w:tc>
          <w:tcPr>
            <w:tcW w:w="2466" w:type="dxa"/>
            <w:vAlign w:val="center"/>
          </w:tcPr>
          <w:p w:rsidR="003646D6" w:rsidRPr="00FE6928" w:rsidRDefault="003646D6" w:rsidP="00E73945">
            <w:pPr>
              <w:pStyle w:val="IQB-Merkmal"/>
            </w:pPr>
            <w:r w:rsidRPr="00FE6928">
              <w:t>Leitidee</w:t>
            </w:r>
          </w:p>
        </w:tc>
        <w:tc>
          <w:tcPr>
            <w:tcW w:w="6604" w:type="dxa"/>
          </w:tcPr>
          <w:p w:rsidR="003646D6" w:rsidRPr="00FE6928" w:rsidRDefault="003646D6" w:rsidP="00E73945">
            <w:pPr>
              <w:pStyle w:val="IQB-Merkmalswert"/>
            </w:pPr>
            <w:r w:rsidRPr="00FE6928">
              <w:t>2. Messen</w:t>
            </w:r>
          </w:p>
        </w:tc>
      </w:tr>
      <w:tr w:rsidR="003646D6" w:rsidRPr="00CA4F42" w:rsidTr="003646D6">
        <w:tc>
          <w:tcPr>
            <w:tcW w:w="2466" w:type="dxa"/>
            <w:vAlign w:val="center"/>
          </w:tcPr>
          <w:p w:rsidR="003646D6" w:rsidRPr="00FE6928" w:rsidRDefault="003646D6" w:rsidP="00E73945">
            <w:pPr>
              <w:pStyle w:val="IQB-Merkmal"/>
            </w:pPr>
            <w:r w:rsidRPr="00FE6928">
              <w:t>Allgemeine Kompetenzen</w:t>
            </w:r>
          </w:p>
        </w:tc>
        <w:tc>
          <w:tcPr>
            <w:tcW w:w="6604" w:type="dxa"/>
          </w:tcPr>
          <w:p w:rsidR="003646D6" w:rsidRPr="00FE6928" w:rsidRDefault="003646D6" w:rsidP="00E73945">
            <w:pPr>
              <w:pStyle w:val="IQB-Merkmalswert"/>
            </w:pPr>
            <w:r>
              <w:t>Mathematisch modellieren (K3)</w:t>
            </w:r>
          </w:p>
          <w:p w:rsidR="003646D6" w:rsidRPr="00FE6928" w:rsidRDefault="003646D6" w:rsidP="00E73945">
            <w:pPr>
              <w:pStyle w:val="IQB-Merkmalswert"/>
            </w:pPr>
            <w:r>
              <w:t>Mit symbolischen, formalen und technischen Elementen der Mathematik umg</w:t>
            </w:r>
            <w:r>
              <w:t>e</w:t>
            </w:r>
            <w:r>
              <w:t>hen (K5)</w:t>
            </w:r>
          </w:p>
          <w:p w:rsidR="003646D6" w:rsidRPr="00FE6928" w:rsidRDefault="003646D6" w:rsidP="00E73945">
            <w:pPr>
              <w:pStyle w:val="IQB-Merkmalswert"/>
            </w:pPr>
            <w:r>
              <w:t>Mathematisch kommunizieren (K6)</w:t>
            </w:r>
          </w:p>
        </w:tc>
      </w:tr>
      <w:tr w:rsidR="003646D6" w:rsidRPr="00CA4F42" w:rsidTr="003646D6">
        <w:tc>
          <w:tcPr>
            <w:tcW w:w="2466" w:type="dxa"/>
            <w:vAlign w:val="center"/>
          </w:tcPr>
          <w:p w:rsidR="003646D6" w:rsidRPr="00FE6928" w:rsidRDefault="003646D6" w:rsidP="00E73945">
            <w:pPr>
              <w:pStyle w:val="IQB-Merkmal"/>
            </w:pPr>
            <w:r w:rsidRPr="00FE6928">
              <w:t>Anforderungsbereich</w:t>
            </w:r>
          </w:p>
        </w:tc>
        <w:tc>
          <w:tcPr>
            <w:tcW w:w="6604" w:type="dxa"/>
          </w:tcPr>
          <w:p w:rsidR="003646D6" w:rsidRPr="00FE6928" w:rsidRDefault="003646D6" w:rsidP="00E73945">
            <w:pPr>
              <w:pStyle w:val="IQB-Merkmalswert"/>
            </w:pPr>
            <w:r w:rsidRPr="00FE6928">
              <w:t>III</w:t>
            </w:r>
          </w:p>
        </w:tc>
      </w:tr>
      <w:tr w:rsidR="003646D6" w:rsidRPr="00CA4F42" w:rsidTr="003646D6">
        <w:tc>
          <w:tcPr>
            <w:tcW w:w="2466" w:type="dxa"/>
            <w:vAlign w:val="center"/>
          </w:tcPr>
          <w:p w:rsidR="003646D6" w:rsidRPr="00FE6928" w:rsidRDefault="003646D6" w:rsidP="00E73945">
            <w:pPr>
              <w:pStyle w:val="IQB-Merkmal"/>
            </w:pPr>
            <w:r w:rsidRPr="00FE6928">
              <w:t>Kompetenzstufe</w:t>
            </w:r>
          </w:p>
        </w:tc>
        <w:tc>
          <w:tcPr>
            <w:tcW w:w="6604" w:type="dxa"/>
          </w:tcPr>
          <w:p w:rsidR="003646D6" w:rsidRPr="00FE6928" w:rsidRDefault="003646D6" w:rsidP="00E73945">
            <w:pPr>
              <w:pStyle w:val="IQB-Merkmalswert"/>
            </w:pPr>
            <w:r w:rsidRPr="00FE6928">
              <w:t>3</w:t>
            </w:r>
          </w:p>
        </w:tc>
      </w:tr>
    </w:tbl>
    <w:p w:rsidR="00694A63" w:rsidRPr="00694A63" w:rsidRDefault="00694A63" w:rsidP="00694A63">
      <w:pPr>
        <w:pStyle w:val="IQB-Teilaufgabentitel"/>
        <w:rPr>
          <w:b/>
        </w:rPr>
      </w:pPr>
      <w:r w:rsidRPr="00694A63">
        <w:rPr>
          <w:b/>
        </w:rPr>
        <w:t>Aufgabenbezogener Kommentar</w:t>
      </w:r>
    </w:p>
    <w:p w:rsidR="003646D6" w:rsidRPr="0069677C" w:rsidRDefault="003646D6" w:rsidP="003646D6">
      <w:pPr>
        <w:pStyle w:val="IQB-AnweisungenText"/>
        <w:spacing w:before="0"/>
        <w:rPr>
          <w:rFonts w:ascii="Arial" w:hAnsi="Arial"/>
          <w:sz w:val="22"/>
          <w:szCs w:val="22"/>
        </w:rPr>
      </w:pPr>
      <w:r w:rsidRPr="0069677C">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Messen</w:t>
      </w:r>
      <w:r w:rsidRPr="0069677C">
        <w:rPr>
          <w:rFonts w:ascii="Arial" w:hAnsi="Arial"/>
          <w:sz w:val="22"/>
          <w:szCs w:val="22"/>
        </w:rPr>
        <w:t xml:space="preserve"> (L2) zuzuordnen, da mit Hilfe von Vorstellungen über Repräsentanten (den abgebildeten Figuren) eine Größe (die Anzahl der Schokolinsen auf dem Foto) geschätzt werden muss. Durch das Auszählen der Linsen innerhalb einer dieser Figuren entnehmen Schülerinnen und Schüler Maßangaben aus dem Quellenmaterial und führen damit die Berechnung der Gesamtanzahl der Linsen durch.</w:t>
      </w:r>
    </w:p>
    <w:p w:rsidR="003646D6" w:rsidRDefault="003646D6" w:rsidP="003646D6">
      <w:pPr>
        <w:pStyle w:val="IQB-AnweisungenText"/>
        <w:rPr>
          <w:rFonts w:ascii="Arial" w:hAnsi="Arial"/>
          <w:sz w:val="22"/>
          <w:szCs w:val="22"/>
        </w:rPr>
      </w:pPr>
      <w:r w:rsidRPr="0069677C">
        <w:rPr>
          <w:rFonts w:ascii="Arial" w:hAnsi="Arial"/>
          <w:sz w:val="22"/>
          <w:szCs w:val="22"/>
        </w:rPr>
        <w:t xml:space="preserve">Zur Lösung dieser Aufgabe ist die Kompetenz </w:t>
      </w:r>
      <w:r>
        <w:rPr>
          <w:rFonts w:ascii="Arial" w:hAnsi="Arial"/>
          <w:i/>
          <w:sz w:val="22"/>
          <w:szCs w:val="22"/>
        </w:rPr>
        <w:t>Mathematisch modellieren</w:t>
      </w:r>
      <w:r w:rsidRPr="0069677C">
        <w:rPr>
          <w:rFonts w:ascii="Arial" w:hAnsi="Arial"/>
          <w:sz w:val="22"/>
          <w:szCs w:val="22"/>
        </w:rPr>
        <w:t xml:space="preserve"> (K3) erforderlich, da Schülerinnen und Schüler zwischen der gegebenen Realsituation (den Schokolinsen auf dem Foto) und den mathematischen Begriffen und Methoden (Zerlegung des Bildes mit einer geometrischen Figu</w:t>
      </w:r>
      <w:r>
        <w:rPr>
          <w:rFonts w:ascii="Arial" w:hAnsi="Arial"/>
          <w:sz w:val="22"/>
          <w:szCs w:val="22"/>
        </w:rPr>
        <w:t>r) hin- und herwechseln müssen.</w:t>
      </w:r>
    </w:p>
    <w:p w:rsidR="003646D6" w:rsidRPr="0051029F" w:rsidRDefault="003646D6" w:rsidP="003646D6">
      <w:pPr>
        <w:pStyle w:val="IQB-AnweisungenText"/>
        <w:rPr>
          <w:rFonts w:ascii="Arial" w:hAnsi="Arial"/>
          <w:sz w:val="22"/>
          <w:szCs w:val="22"/>
        </w:rPr>
      </w:pPr>
      <w:r w:rsidRPr="0069677C">
        <w:rPr>
          <w:rFonts w:ascii="Arial" w:hAnsi="Arial"/>
          <w:sz w:val="22"/>
          <w:szCs w:val="22"/>
        </w:rPr>
        <w:t>Zur Lösung der Aufgabe muss die gegebene Situation dadurch vereinfacht werden, dass nur ein Teilbereich und nicht das gesamte Bild ausgezählt wird. Dazu ist es zudem nötig, dass mögliche Modelle (Quadrat, Dreieck, Rechteck oder Kreis) bezüglich ihrer Tauglichkeit bewertet werden.</w:t>
      </w:r>
    </w:p>
    <w:p w:rsidR="003646D6" w:rsidRPr="0069677C" w:rsidRDefault="003646D6" w:rsidP="003646D6">
      <w:pPr>
        <w:pStyle w:val="IQB-AnweisungenText"/>
        <w:rPr>
          <w:rFonts w:ascii="Arial" w:hAnsi="Arial"/>
          <w:sz w:val="22"/>
          <w:szCs w:val="22"/>
        </w:rPr>
      </w:pPr>
      <w:r w:rsidRPr="0069677C">
        <w:rPr>
          <w:rFonts w:ascii="Arial" w:hAnsi="Arial"/>
          <w:sz w:val="22"/>
          <w:szCs w:val="22"/>
        </w:rPr>
        <w:t>Da mit den geometrischen Objekten sowie mit der Anzahl der Linsen in einer der Figuren Operationen ausgeführt werden müssen (Bestimmen der Anzahl, wie oft eine der Figuren in das Bild passt, Multiplikation dieser Anzahl mit der Anzahl der Linsen in einer dieser Figuren), erfordert die Aufgabe zudem auch die Kompetenz</w:t>
      </w:r>
      <w:r w:rsidRPr="001F0FA4">
        <w:t xml:space="preserve"> </w:t>
      </w:r>
      <w:r w:rsidRPr="001F0FA4">
        <w:rPr>
          <w:rFonts w:ascii="Arial" w:hAnsi="Arial"/>
          <w:i/>
          <w:sz w:val="22"/>
          <w:szCs w:val="22"/>
        </w:rPr>
        <w:t>Mit symbolischen, formalen und technischen Elementen der Mathematik umgehen</w:t>
      </w:r>
      <w:r w:rsidRPr="0069677C">
        <w:rPr>
          <w:rFonts w:ascii="Arial" w:hAnsi="Arial"/>
          <w:sz w:val="22"/>
          <w:szCs w:val="22"/>
        </w:rPr>
        <w:t xml:space="preserve"> (K5). Außerdem sollen die Schülerinnen und Schüler ihr Vorgehen beschreiben, somit sind sie dazu aufgefordert, mathematisch zu kommunizieren (K6). Sie sollen ihre Überlegungen und Resultate schriftlich darlegen und strukturiert wiedergeben.</w:t>
      </w:r>
    </w:p>
    <w:p w:rsidR="003646D6" w:rsidRPr="0069677C" w:rsidRDefault="003646D6" w:rsidP="003646D6">
      <w:pPr>
        <w:pStyle w:val="IQB-AnweisungenText"/>
        <w:rPr>
          <w:rFonts w:ascii="Arial" w:hAnsi="Arial"/>
          <w:sz w:val="22"/>
          <w:szCs w:val="22"/>
        </w:rPr>
      </w:pPr>
      <w:r w:rsidRPr="0069677C">
        <w:rPr>
          <w:rFonts w:ascii="Arial" w:hAnsi="Arial"/>
          <w:sz w:val="22"/>
          <w:szCs w:val="22"/>
        </w:rPr>
        <w:t>Die Aufgabe erfordert eine elaborierte Strategie sowie implizit auch die Reflektion über verschiedene Lösungswege durch die zweckgerichtete Beurteilung der verschiedenen Darstellungsformen. Schließlich eignet sich theoretisch jede eingezeichnete Figur zum Abschätzen, die Schülerinnen und Schüler sollen aber eine Auswahl der Figur</w:t>
      </w:r>
      <w:r>
        <w:rPr>
          <w:rFonts w:ascii="Arial" w:hAnsi="Arial"/>
          <w:sz w:val="22"/>
          <w:szCs w:val="22"/>
        </w:rPr>
        <w:t xml:space="preserve"> treffen</w:t>
      </w:r>
      <w:r w:rsidRPr="0069677C">
        <w:rPr>
          <w:rFonts w:ascii="Arial" w:hAnsi="Arial"/>
          <w:sz w:val="22"/>
          <w:szCs w:val="22"/>
        </w:rPr>
        <w:t>, die ihnen am besten geeignet erscheint. In dieser Aufgabe müssen also mehrere Modelle gegeneinander abgewogen und das geeignetste ausgewählt werden, es muss der Teilbereich innerhalb der ausgewählten Figur ausgezählt werden, es muss abgeschätzt werden, wie oft die ausgewählte Figur in das gesamte Bild passt und dann anhand dieser Zahlen die Gesamtzahl der Linsen abgeschätzt werden. Aufgrund der Vielzahl an Schritten in der Modellierung, der Komplexität der zu modellierenden Situation und der Auswahl (Bewertung) verschiedener möglicher Modelle wird die Aufgabe dem Anforderungsbereich III zugeordnet.</w:t>
      </w:r>
    </w:p>
    <w:p w:rsidR="003646D6" w:rsidRDefault="003646D6" w:rsidP="00B47B08">
      <w:pPr>
        <w:pStyle w:val="IQB-AnweisungenText"/>
        <w:spacing w:before="240" w:after="60"/>
        <w:rPr>
          <w:b/>
        </w:rPr>
      </w:pPr>
    </w:p>
    <w:p w:rsidR="00694A63" w:rsidRPr="00694A63" w:rsidRDefault="00694A63" w:rsidP="00B47B08">
      <w:pPr>
        <w:pStyle w:val="IQB-AnweisungenText"/>
        <w:spacing w:before="240" w:after="60"/>
        <w:rPr>
          <w:b/>
        </w:rPr>
      </w:pPr>
      <w:r w:rsidRPr="00694A63">
        <w:rPr>
          <w:b/>
        </w:rPr>
        <w:lastRenderedPageBreak/>
        <w:t>Anregungen für den Unterricht</w:t>
      </w:r>
    </w:p>
    <w:p w:rsidR="003646D6" w:rsidRPr="00CA4F42" w:rsidRDefault="003646D6" w:rsidP="003646D6">
      <w:pPr>
        <w:pStyle w:val="IQB-AnweisungenText"/>
        <w:spacing w:before="0" w:after="120"/>
      </w:pPr>
      <w:r w:rsidRPr="0069677C">
        <w:rPr>
          <w:rFonts w:ascii="Arial" w:hAnsi="Arial"/>
          <w:sz w:val="22"/>
          <w:szCs w:val="22"/>
        </w:rPr>
        <w:t>Anhand der folgenden Schülerlösungen soll illustriert werden, wie die Ergebnisse zur Aufgabe „Schokolinsen“ ausgewertet und für einen kompetenzorientierten Unterricht nutzbar gemacht werden können. Bei beiden hier vorgestellten Schülerlösungen lassen sich sowohl Kompetenzen identifizieren, über die der Schüler bereits verfügt, als auch Kompetenzen, die es weiter auszubauen gilt.</w:t>
      </w:r>
    </w:p>
    <w:p w:rsidR="003646D6" w:rsidRPr="00CA4F42" w:rsidRDefault="003646D6" w:rsidP="003646D6">
      <w:pPr>
        <w:pStyle w:val="IQB-AnweisungenText"/>
        <w:keepNext/>
      </w:pPr>
      <w:r w:rsidRPr="00CA4F42">
        <w:rPr>
          <w:noProof/>
        </w:rPr>
        <w:drawing>
          <wp:inline distT="0" distB="0" distL="0" distR="0">
            <wp:extent cx="5459095" cy="2245360"/>
            <wp:effectExtent l="19050" t="19050" r="27305" b="215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59095" cy="2245360"/>
                    </a:xfrm>
                    <a:prstGeom prst="rect">
                      <a:avLst/>
                    </a:prstGeom>
                    <a:noFill/>
                    <a:ln w="6350" cmpd="sng">
                      <a:solidFill>
                        <a:srgbClr val="000000"/>
                      </a:solidFill>
                      <a:miter lim="800000"/>
                      <a:headEnd/>
                      <a:tailEnd/>
                    </a:ln>
                    <a:effectLst/>
                  </pic:spPr>
                </pic:pic>
              </a:graphicData>
            </a:graphic>
          </wp:inline>
        </w:drawing>
      </w:r>
    </w:p>
    <w:p w:rsidR="003646D6" w:rsidRPr="007961C2" w:rsidRDefault="003646D6" w:rsidP="003646D6">
      <w:pPr>
        <w:pStyle w:val="Beschriftung"/>
        <w:tabs>
          <w:tab w:val="left" w:pos="4363"/>
        </w:tabs>
        <w:spacing w:before="80" w:after="120"/>
        <w:jc w:val="both"/>
        <w:rPr>
          <w:b w:val="0"/>
        </w:rPr>
      </w:pPr>
      <w:r w:rsidRPr="007961C2">
        <w:rPr>
          <w:b w:val="0"/>
        </w:rPr>
        <w:t>Abbildung 1: Schülerlösung 1</w:t>
      </w:r>
      <w:r w:rsidRPr="007961C2">
        <w:rPr>
          <w:b w:val="0"/>
        </w:rPr>
        <w:tab/>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Der Schüler kann Grundideen der Flächenberechnung (Zerlegen und Erweitern) auf einen ihm unbekannten Kontext anwenden. Der Schüler schildert seinen Lösungsweg vollständig und in ganzen Sätzen. Lediglich die Anzahl der Schokolinsen in den einzelnen Quadraten wird nicht genannt. Demnach sind Kompetenzen im Bereich des mathematischen Kommunizierens (K6) nachgewiesen.</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 xml:space="preserve">Der Schüler zeigt außerdem auf basalem Niveau, dass er mit einfachen Formeln der Flächenberechnung und den dazugehörigen Grundrechenarten vertraut ist (K5). Weiterhin lässt die Lösung erkennen, dass der Schüler über Modellierungskompetenzen (K3) verfügt. So werden </w:t>
      </w:r>
      <w:r>
        <w:rPr>
          <w:rFonts w:ascii="Arial" w:hAnsi="Arial"/>
          <w:sz w:val="22"/>
          <w:szCs w:val="22"/>
        </w:rPr>
        <w:t>z.</w:t>
      </w:r>
      <w:r w:rsidRPr="00A578AF">
        <w:rPr>
          <w:rFonts w:ascii="Arial" w:hAnsi="Arial"/>
          <w:sz w:val="12"/>
          <w:szCs w:val="12"/>
        </w:rPr>
        <w:t> </w:t>
      </w:r>
      <w:r>
        <w:rPr>
          <w:rFonts w:ascii="Arial" w:hAnsi="Arial"/>
          <w:sz w:val="22"/>
          <w:szCs w:val="22"/>
        </w:rPr>
        <w:t>B.</w:t>
      </w:r>
      <w:r w:rsidRPr="00536EE7">
        <w:rPr>
          <w:rFonts w:ascii="Arial" w:hAnsi="Arial"/>
          <w:sz w:val="22"/>
          <w:szCs w:val="22"/>
        </w:rPr>
        <w:t xml:space="preserve"> Annahmen bzw. Abschätzungen zur realen Situation auf dem Foto getroffen – die Anzahl an Schokolinsen wird in der Fläche bestimmt und die Anzahl an Schokolinsen in einem Quadrat abgezählt. Dann wird ein mathematisches Modell aufgestellt (Zerlegung des Bildes in Quadrate) und innermathematisch weitergearbeitet.</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 xml:space="preserve">Die Lösung lässt vermuten, dass der Schüler im Quadrat ca. 46 Schokolinsen gezählt hat. Er geht davon aus, dass nur sechs Quadrate insgesamt in das rechteckige Foto passen. Diese Abschätzung weicht stark ab von den realen Gegebenheiten. Das Abschätzen von Größen und das in einem Kontext sinnvolle Anwenden von Überschlagsrechnungen gehört zur umfassenderen Modellierungskompetenz. Diese Teilkompetenzen des Modellierungsprozesses sollten demnach gefördert werden. Dass die Lösung stark abweicht von den realen Gegebenheiten, wäre womöglich aufgefallen, wenn der Schüler am Ende seines Lösungsweges Rückschau gehalten hätte. Der Teilprozess </w:t>
      </w:r>
      <w:r w:rsidRPr="00C03EE0">
        <w:rPr>
          <w:rFonts w:ascii="Arial" w:hAnsi="Arial"/>
          <w:i/>
          <w:sz w:val="22"/>
          <w:szCs w:val="22"/>
        </w:rPr>
        <w:t>Validieren</w:t>
      </w:r>
      <w:r w:rsidRPr="00536EE7">
        <w:rPr>
          <w:rFonts w:ascii="Arial" w:hAnsi="Arial"/>
          <w:sz w:val="22"/>
          <w:szCs w:val="22"/>
        </w:rPr>
        <w:t xml:space="preserve"> des Modellierungsprozesses wird noch nicht genügend beherrscht.</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Im Unterricht könnten Abschätzungen und Überschlagsrechnungen mit ähnlichen Aufgaben (</w:t>
      </w:r>
      <w:r>
        <w:rPr>
          <w:rFonts w:ascii="Arial" w:hAnsi="Arial"/>
          <w:sz w:val="22"/>
          <w:szCs w:val="22"/>
        </w:rPr>
        <w:t>z.</w:t>
      </w:r>
      <w:r w:rsidRPr="00A578AF">
        <w:rPr>
          <w:rFonts w:ascii="Arial" w:hAnsi="Arial"/>
          <w:sz w:val="12"/>
          <w:szCs w:val="12"/>
        </w:rPr>
        <w:t> </w:t>
      </w:r>
      <w:r>
        <w:rPr>
          <w:rFonts w:ascii="Arial" w:hAnsi="Arial"/>
          <w:sz w:val="22"/>
          <w:szCs w:val="22"/>
        </w:rPr>
        <w:t>B.</w:t>
      </w:r>
      <w:r w:rsidRPr="00536EE7">
        <w:rPr>
          <w:rFonts w:ascii="Arial" w:hAnsi="Arial"/>
          <w:sz w:val="22"/>
          <w:szCs w:val="22"/>
        </w:rPr>
        <w:t xml:space="preserve"> </w:t>
      </w:r>
      <w:proofErr w:type="spellStart"/>
      <w:r w:rsidRPr="00536EE7">
        <w:rPr>
          <w:rFonts w:ascii="Arial" w:hAnsi="Arial"/>
          <w:sz w:val="22"/>
          <w:szCs w:val="22"/>
        </w:rPr>
        <w:t>Fermiaufgaben</w:t>
      </w:r>
      <w:proofErr w:type="spellEnd"/>
      <w:r w:rsidRPr="00536EE7">
        <w:rPr>
          <w:rFonts w:ascii="Arial" w:hAnsi="Arial"/>
          <w:sz w:val="22"/>
          <w:szCs w:val="22"/>
        </w:rPr>
        <w:t>) behandelt werden. Auch das Erstellen von Tabellen mit Vergleichsgrößen kann in diesem Zusammenhang hilfreich sein. Wichtig ist, dass die hieraus</w:t>
      </w:r>
      <w:r>
        <w:rPr>
          <w:rFonts w:ascii="Arial" w:hAnsi="Arial"/>
          <w:sz w:val="22"/>
          <w:szCs w:val="22"/>
        </w:rPr>
        <w:t xml:space="preserve"> </w:t>
      </w:r>
      <w:r w:rsidRPr="00536EE7">
        <w:rPr>
          <w:rFonts w:ascii="Arial" w:hAnsi="Arial"/>
          <w:sz w:val="22"/>
          <w:szCs w:val="22"/>
        </w:rPr>
        <w:t>resultierenden ungenauen Lösungen nicht als weniger mathematisch und damit als weniger wertvoll erachtet werden.</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lastRenderedPageBreak/>
        <w:t xml:space="preserve">Der Teilschritt des Validierens kann anhand vergleichbarer Aufgaben erläutert werden. Die Lehrkraft kann </w:t>
      </w:r>
      <w:r>
        <w:rPr>
          <w:rFonts w:ascii="Arial" w:hAnsi="Arial"/>
          <w:sz w:val="22"/>
          <w:szCs w:val="22"/>
        </w:rPr>
        <w:t>z.</w:t>
      </w:r>
      <w:r w:rsidRPr="00A578AF">
        <w:rPr>
          <w:rFonts w:ascii="Arial" w:hAnsi="Arial"/>
          <w:sz w:val="12"/>
          <w:szCs w:val="12"/>
        </w:rPr>
        <w:t> </w:t>
      </w:r>
      <w:r>
        <w:rPr>
          <w:rFonts w:ascii="Arial" w:hAnsi="Arial"/>
          <w:sz w:val="22"/>
          <w:szCs w:val="22"/>
        </w:rPr>
        <w:t>B.</w:t>
      </w:r>
      <w:r w:rsidRPr="00536EE7">
        <w:rPr>
          <w:rFonts w:ascii="Arial" w:hAnsi="Arial"/>
          <w:sz w:val="22"/>
          <w:szCs w:val="22"/>
        </w:rPr>
        <w:t xml:space="preserve"> in einer Plenumsphase diesen Teilschritt explizit einfordern, fremde Lösungswege können (schriftlich) bewertet und das Validieren in Leistungsüberprüfungen gefordert werden.</w:t>
      </w:r>
    </w:p>
    <w:p w:rsidR="003646D6" w:rsidRPr="00536EE7" w:rsidRDefault="003646D6" w:rsidP="003646D6">
      <w:pPr>
        <w:pStyle w:val="IQB-AnweisungenText"/>
        <w:spacing w:before="0" w:after="120"/>
        <w:rPr>
          <w:rFonts w:ascii="Arial" w:hAnsi="Arial"/>
          <w:sz w:val="22"/>
          <w:szCs w:val="22"/>
        </w:rPr>
      </w:pPr>
      <w:r w:rsidRPr="00536EE7">
        <w:rPr>
          <w:rFonts w:ascii="Arial" w:hAnsi="Arial"/>
          <w:noProof/>
          <w:sz w:val="22"/>
          <w:szCs w:val="22"/>
        </w:rPr>
        <w:drawing>
          <wp:inline distT="0" distB="0" distL="0" distR="0">
            <wp:extent cx="4916170" cy="2353945"/>
            <wp:effectExtent l="19050" t="19050" r="17780" b="2730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
                      <a:extLst>
                        <a:ext uri="{28A0092B-C50C-407E-A947-70E740481C1C}">
                          <a14:useLocalDpi xmlns:a14="http://schemas.microsoft.com/office/drawing/2010/main" val="0"/>
                        </a:ext>
                      </a:extLst>
                    </a:blip>
                    <a:srcRect r="2925" b="5240"/>
                    <a:stretch>
                      <a:fillRect/>
                    </a:stretch>
                  </pic:blipFill>
                  <pic:spPr bwMode="auto">
                    <a:xfrm>
                      <a:off x="0" y="0"/>
                      <a:ext cx="4916170" cy="2353945"/>
                    </a:xfrm>
                    <a:prstGeom prst="rect">
                      <a:avLst/>
                    </a:prstGeom>
                    <a:noFill/>
                    <a:ln w="6350" cmpd="sng">
                      <a:solidFill>
                        <a:srgbClr val="000000"/>
                      </a:solidFill>
                      <a:miter lim="800000"/>
                      <a:headEnd/>
                      <a:tailEnd/>
                    </a:ln>
                    <a:effectLst/>
                  </pic:spPr>
                </pic:pic>
              </a:graphicData>
            </a:graphic>
          </wp:inline>
        </w:drawing>
      </w:r>
    </w:p>
    <w:p w:rsidR="003646D6" w:rsidRPr="007961C2" w:rsidRDefault="003646D6" w:rsidP="003646D6">
      <w:pPr>
        <w:pStyle w:val="Beschriftung"/>
        <w:tabs>
          <w:tab w:val="left" w:pos="4363"/>
        </w:tabs>
        <w:spacing w:before="80" w:after="120"/>
        <w:jc w:val="both"/>
        <w:rPr>
          <w:b w:val="0"/>
        </w:rPr>
      </w:pPr>
      <w:r w:rsidRPr="007961C2">
        <w:rPr>
          <w:b w:val="0"/>
        </w:rPr>
        <w:t>Abbildung 2: Schülerlösung 2</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 xml:space="preserve">Auch der Schüler aus der zweiten Schülerlösung kann Grundideen der Flächenberechnung (zerlegen und erweitern) auf einen ihm unbekannten Kontext anwenden. Das Ergebnis und der Lösungsweg lassen erkennen, dass der Schüler über Modellierungskompetenzen verfügt. So entspricht das Ergebnis sehr gut den realen Gegebenheiten. Die Aufzählung der Schritte des Lösungswegs lässt erkennen, dass der Schüler insbesondere das Aufstellen von und Arbeiten mit mathematischen Modellen beherrscht. Die dazu nötigen (basalen) Rechenschritte und der Umgang mit (basalen) Formeln der Flächenberechnung werden vom Schüler beherrscht. </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Die Dokumentation des Lösungswegs erfolgt allerdings stichpunktartig. Insbesondere lassen Begriffe wie „messen“, „zählen“ und „ausrechnen“ großen Interpretationsspielraum und müssten vom Schüler konkretisiert werden. An keiner Stelle werden konkrete Zahlen genannt. Es sollte daher insbesondere die Kompetenz des mathematischen zu Kommunizierens (K6) gefördert werden.</w:t>
      </w:r>
    </w:p>
    <w:p w:rsidR="003646D6" w:rsidRPr="00536EE7" w:rsidRDefault="003646D6" w:rsidP="003646D6">
      <w:pPr>
        <w:pStyle w:val="IQB-AnweisungenText"/>
        <w:spacing w:before="0" w:after="120"/>
        <w:rPr>
          <w:rFonts w:ascii="Arial" w:hAnsi="Arial"/>
          <w:sz w:val="22"/>
          <w:szCs w:val="22"/>
        </w:rPr>
      </w:pPr>
      <w:r w:rsidRPr="00536EE7">
        <w:rPr>
          <w:rFonts w:ascii="Arial" w:hAnsi="Arial"/>
          <w:sz w:val="22"/>
          <w:szCs w:val="22"/>
        </w:rPr>
        <w:t xml:space="preserve">Im Unterricht könnte zunächst verstärkt darauf Wert gelegt werden, dass zu konkreten Aufgaben verschiedene Lösungswege thematisiert werden. Anhand verschiedener Lösungswege kann </w:t>
      </w:r>
      <w:r>
        <w:rPr>
          <w:rFonts w:ascii="Arial" w:hAnsi="Arial"/>
          <w:sz w:val="22"/>
          <w:szCs w:val="22"/>
        </w:rPr>
        <w:t>z.</w:t>
      </w:r>
      <w:r w:rsidRPr="00A578AF">
        <w:rPr>
          <w:rFonts w:ascii="Arial" w:hAnsi="Arial"/>
          <w:sz w:val="12"/>
          <w:szCs w:val="12"/>
        </w:rPr>
        <w:t> </w:t>
      </w:r>
      <w:r>
        <w:rPr>
          <w:rFonts w:ascii="Arial" w:hAnsi="Arial"/>
          <w:sz w:val="22"/>
          <w:szCs w:val="22"/>
        </w:rPr>
        <w:t>B.</w:t>
      </w:r>
      <w:r w:rsidRPr="00536EE7">
        <w:rPr>
          <w:rFonts w:ascii="Arial" w:hAnsi="Arial"/>
          <w:sz w:val="22"/>
          <w:szCs w:val="22"/>
        </w:rPr>
        <w:t xml:space="preserve"> ein Katalog mit Kriterien für die Dokumentation von Lösungswegen erarbeitet werden. Um isoliert Kommunikationskompetenzen zu fördern, k</w:t>
      </w:r>
      <w:bookmarkStart w:id="0" w:name="_GoBack"/>
      <w:bookmarkEnd w:id="0"/>
      <w:r w:rsidRPr="00536EE7">
        <w:rPr>
          <w:rFonts w:ascii="Arial" w:hAnsi="Arial"/>
          <w:sz w:val="22"/>
          <w:szCs w:val="22"/>
        </w:rPr>
        <w:t xml:space="preserve">önnen den Schülerinnen und Schülern bereits vorgefertigte Lösungswege vorgelegt werden, die dann anhand des Kriterienkatalogs zu bewerten sind. Weiterhin können Lösungswege gegenübergestellt werden, die sich hinsichtlich der verwendeten mathematischen Darstellungsweise unterscheiden. So könnten </w:t>
      </w:r>
      <w:r>
        <w:rPr>
          <w:rFonts w:ascii="Arial" w:hAnsi="Arial"/>
          <w:sz w:val="22"/>
          <w:szCs w:val="22"/>
        </w:rPr>
        <w:t>z.</w:t>
      </w:r>
      <w:r w:rsidRPr="00A578AF">
        <w:rPr>
          <w:rFonts w:ascii="Arial" w:hAnsi="Arial"/>
          <w:sz w:val="12"/>
          <w:szCs w:val="12"/>
        </w:rPr>
        <w:t> </w:t>
      </w:r>
      <w:r>
        <w:rPr>
          <w:rFonts w:ascii="Arial" w:hAnsi="Arial"/>
          <w:sz w:val="22"/>
          <w:szCs w:val="22"/>
        </w:rPr>
        <w:t>B.</w:t>
      </w:r>
      <w:r w:rsidRPr="00536EE7">
        <w:rPr>
          <w:rFonts w:ascii="Arial" w:hAnsi="Arial"/>
          <w:sz w:val="22"/>
          <w:szCs w:val="22"/>
        </w:rPr>
        <w:t xml:space="preserve"> das </w:t>
      </w:r>
      <w:r w:rsidRPr="00536EE7">
        <w:rPr>
          <w:rFonts w:ascii="Arial" w:hAnsi="Arial"/>
          <w:i/>
          <w:sz w:val="22"/>
          <w:szCs w:val="22"/>
        </w:rPr>
        <w:t>Für</w:t>
      </w:r>
      <w:r w:rsidRPr="00536EE7">
        <w:rPr>
          <w:rFonts w:ascii="Arial" w:hAnsi="Arial"/>
          <w:sz w:val="22"/>
          <w:szCs w:val="22"/>
        </w:rPr>
        <w:t xml:space="preserve"> und </w:t>
      </w:r>
      <w:r w:rsidRPr="00536EE7">
        <w:rPr>
          <w:rFonts w:ascii="Arial" w:hAnsi="Arial"/>
          <w:i/>
          <w:sz w:val="22"/>
          <w:szCs w:val="22"/>
        </w:rPr>
        <w:t>Wider</w:t>
      </w:r>
      <w:r w:rsidRPr="00536EE7">
        <w:rPr>
          <w:rFonts w:ascii="Arial" w:hAnsi="Arial"/>
          <w:sz w:val="22"/>
          <w:szCs w:val="22"/>
        </w:rPr>
        <w:t xml:space="preserve"> einer grafischen Lösung gegenüber einer rein rechnerischen thematisiert werden. Letztlich sollte sowohl im Bereich der sonstigen Mitarbeit als auch in schriftlichen Leistungsüberprüfungen die Dokumentation von Lösungswegen mit in die Benotung einfließen.</w:t>
      </w:r>
    </w:p>
    <w:p w:rsidR="00694A63" w:rsidRPr="005B2F65" w:rsidRDefault="00694A63" w:rsidP="003646D6">
      <w:pPr>
        <w:pStyle w:val="IQB-AnweisungenText"/>
        <w:spacing w:before="0" w:after="60"/>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9B47F890-AC16-424D-9C3E-F0F9B2A97939}"/>
    <w:embedBold r:id="rId2" w:subsetted="1" w:fontKey="{D55F2DEB-5BD9-482B-AAE2-16285BD64D58}"/>
  </w:font>
  <w:font w:name="Arial">
    <w:panose1 w:val="020B0604020202020204"/>
    <w:charset w:val="00"/>
    <w:family w:val="swiss"/>
    <w:pitch w:val="variable"/>
    <w:sig w:usb0="E0002EFF" w:usb1="C000785B" w:usb2="00000009" w:usb3="00000000" w:csb0="000001FF" w:csb1="00000000"/>
    <w:embedRegular r:id="rId3" w:fontKey="{7ED61A86-FF0B-4269-9D13-04BE09427C13}"/>
    <w:embedBold r:id="rId4" w:fontKey="{F367BDD5-E2FC-4F0D-AD97-07EE7CDEF019}"/>
    <w:embedItalic r:id="rId5" w:fontKey="{E1AC01BA-7AAD-4D74-BEE6-B6F1D9CADE31}"/>
    <w:embedBoldItalic r:id="rId6" w:fontKey="{E4D0BE78-2108-4F33-9149-8D6DE674C58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03B2B0E"/>
    <w:multiLevelType w:val="hybridMultilevel"/>
    <w:tmpl w:val="FA6C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646D6"/>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47B08"/>
    <w:rsid w:val="00B8136A"/>
    <w:rsid w:val="00B91E9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28172E5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uiPriority w:val="99"/>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uiPriority w:val="99"/>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63447-B965-4473-B2FF-AC43502C50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972</Words>
  <Characters>6581</Characters>
  <Application>Microsoft Office Word</Application>
  <DocSecurity>0</DocSecurity>
  <Lines>156</Lines>
  <Paragraphs>111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2025-07-21T10:21:00Z</dcterms:created>
  <dcterms:modified xsi:type="dcterms:W3CDTF">2025-07-21T10:21:00Z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